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A8" w:rsidRDefault="003665B2" w:rsidP="00291CD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AD74A8" w:rsidRPr="00144E39" w:rsidRDefault="00AD74A8" w:rsidP="00B93CCA">
      <w:pPr>
        <w:pStyle w:val="a3"/>
        <w:spacing w:before="0" w:beforeAutospacing="0" w:after="0" w:afterAutospacing="0" w:line="240" w:lineRule="atLeast"/>
        <w:ind w:left="921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62"/>
        <w:tblW w:w="4486" w:type="dxa"/>
        <w:tblLook w:val="01E0"/>
      </w:tblPr>
      <w:tblGrid>
        <w:gridCol w:w="4486"/>
      </w:tblGrid>
      <w:tr w:rsidR="00B93CCA" w:rsidRPr="00144E39" w:rsidTr="00EB76E3">
        <w:trPr>
          <w:trHeight w:val="699"/>
        </w:trPr>
        <w:tc>
          <w:tcPr>
            <w:tcW w:w="4486" w:type="dxa"/>
          </w:tcPr>
          <w:p w:rsidR="00B93CCA" w:rsidRPr="00144E39" w:rsidRDefault="00B93CCA" w:rsidP="00E106F4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9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B93CCA" w:rsidRPr="00144E39" w:rsidRDefault="00B93CCA" w:rsidP="00E106F4">
            <w:pPr>
              <w:tabs>
                <w:tab w:val="left" w:pos="5888"/>
              </w:tabs>
              <w:spacing w:after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9">
              <w:rPr>
                <w:rFonts w:ascii="Times New Roman" w:hAnsi="Times New Roman" w:cs="Times New Roman"/>
                <w:sz w:val="28"/>
                <w:szCs w:val="28"/>
              </w:rPr>
              <w:t xml:space="preserve">Міністр </w:t>
            </w:r>
            <w:r w:rsidRPr="00B96455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тимчасово окупованих територій та внутрішньо переміщених осіб України</w:t>
            </w:r>
          </w:p>
        </w:tc>
      </w:tr>
      <w:tr w:rsidR="00B93CCA" w:rsidRPr="00144E39" w:rsidTr="00EB76E3">
        <w:tc>
          <w:tcPr>
            <w:tcW w:w="4486" w:type="dxa"/>
          </w:tcPr>
          <w:p w:rsidR="00B93CCA" w:rsidRDefault="00E41EB5" w:rsidP="00E106F4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41E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підпис</w:t>
            </w:r>
            <w:r w:rsidR="00EB76E3" w:rsidRPr="0038644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EB76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76E3" w:rsidRPr="00EB76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В.О. </w:t>
            </w:r>
            <w:proofErr w:type="spellStart"/>
            <w:r w:rsidR="00EB76E3" w:rsidRPr="00EB76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Черниш</w:t>
            </w:r>
            <w:proofErr w:type="spellEnd"/>
            <w:r w:rsidR="00B93C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93CCA" w:rsidRPr="00EB76E3" w:rsidRDefault="00EB76E3" w:rsidP="00E106F4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B93CCA" w:rsidRPr="00EB76E3">
              <w:rPr>
                <w:rFonts w:ascii="Times New Roman" w:hAnsi="Times New Roman" w:cs="Times New Roman"/>
                <w:sz w:val="18"/>
                <w:szCs w:val="18"/>
              </w:rPr>
              <w:t xml:space="preserve">(підпис)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B93CCA" w:rsidRPr="00EB76E3">
              <w:rPr>
                <w:rFonts w:ascii="Times New Roman" w:hAnsi="Times New Roman" w:cs="Times New Roman"/>
                <w:sz w:val="18"/>
                <w:szCs w:val="18"/>
              </w:rPr>
              <w:t xml:space="preserve"> (ініціал</w:t>
            </w:r>
            <w:r w:rsidR="00D55555" w:rsidRPr="00EB76E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93CCA" w:rsidRPr="00EB76E3">
              <w:rPr>
                <w:rFonts w:ascii="Times New Roman" w:hAnsi="Times New Roman" w:cs="Times New Roman"/>
                <w:sz w:val="18"/>
                <w:szCs w:val="18"/>
              </w:rPr>
              <w:t xml:space="preserve"> імені, прізвище)</w:t>
            </w:r>
          </w:p>
        </w:tc>
      </w:tr>
      <w:tr w:rsidR="00B93CCA" w:rsidRPr="00144E39" w:rsidTr="00EB76E3">
        <w:tc>
          <w:tcPr>
            <w:tcW w:w="4486" w:type="dxa"/>
          </w:tcPr>
          <w:p w:rsidR="00B93CCA" w:rsidRPr="00E41EB5" w:rsidRDefault="00E41EB5" w:rsidP="00E41EB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E41E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13.   12.    </w:t>
            </w:r>
            <w:r w:rsidR="00B93CCA" w:rsidRPr="00E41EB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2018 року</w:t>
            </w:r>
          </w:p>
        </w:tc>
      </w:tr>
    </w:tbl>
    <w:p w:rsidR="00B93CCA" w:rsidRPr="00144E39" w:rsidRDefault="00B93CCA" w:rsidP="00B93CCA">
      <w:pPr>
        <w:pStyle w:val="a3"/>
        <w:spacing w:before="0" w:beforeAutospacing="0" w:after="0" w:afterAutospacing="0" w:line="240" w:lineRule="atLeast"/>
        <w:ind w:left="5415"/>
        <w:jc w:val="both"/>
        <w:rPr>
          <w:sz w:val="28"/>
          <w:szCs w:val="28"/>
        </w:rPr>
      </w:pPr>
    </w:p>
    <w:p w:rsidR="00B93CCA" w:rsidRDefault="00B93CCA" w:rsidP="00B93CCA">
      <w:pPr>
        <w:spacing w:before="28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CCA" w:rsidRDefault="00B93CCA" w:rsidP="00B93CCA">
      <w:pPr>
        <w:spacing w:before="28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CCA" w:rsidRDefault="00B93CCA" w:rsidP="00B93CCA">
      <w:pPr>
        <w:spacing w:before="28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CCA" w:rsidRDefault="00B93CCA" w:rsidP="00B93CCA">
      <w:pPr>
        <w:spacing w:before="28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CCA" w:rsidRDefault="00B93CCA" w:rsidP="00B93CCA">
      <w:pPr>
        <w:spacing w:before="28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6511" w:rsidRDefault="00AD74A8" w:rsidP="0061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CD0">
        <w:rPr>
          <w:rFonts w:ascii="Times New Roman" w:hAnsi="Times New Roman" w:cs="Times New Roman"/>
          <w:sz w:val="28"/>
          <w:szCs w:val="28"/>
        </w:rPr>
        <w:t xml:space="preserve">  </w:t>
      </w:r>
      <w:r w:rsidR="00B93C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91CD0">
        <w:rPr>
          <w:rFonts w:ascii="Times New Roman" w:hAnsi="Times New Roman" w:cs="Times New Roman"/>
          <w:sz w:val="28"/>
          <w:szCs w:val="28"/>
        </w:rPr>
        <w:t xml:space="preserve">   </w:t>
      </w:r>
      <w:r w:rsidR="007465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1C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3A0A">
        <w:rPr>
          <w:rFonts w:ascii="Times New Roman" w:hAnsi="Times New Roman" w:cs="Times New Roman"/>
          <w:sz w:val="28"/>
          <w:szCs w:val="28"/>
        </w:rPr>
        <w:t xml:space="preserve">   </w:t>
      </w:r>
      <w:r w:rsidR="00B93CCA" w:rsidRPr="003E61D9">
        <w:rPr>
          <w:rFonts w:ascii="Times New Roman" w:hAnsi="Times New Roman"/>
          <w:b/>
          <w:bCs/>
          <w:sz w:val="24"/>
          <w:szCs w:val="24"/>
        </w:rPr>
        <w:t>ПЛАН</w:t>
      </w:r>
      <w:r w:rsidR="003262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3CCA" w:rsidRPr="00B96455">
        <w:rPr>
          <w:rFonts w:ascii="Times New Roman" w:hAnsi="Times New Roman" w:cs="Times New Roman"/>
          <w:bCs/>
          <w:sz w:val="28"/>
          <w:szCs w:val="28"/>
        </w:rPr>
        <w:br/>
      </w:r>
      <w:r w:rsidR="00B93CC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D63A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74651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D63A0A">
        <w:rPr>
          <w:rFonts w:ascii="Times New Roman" w:hAnsi="Times New Roman" w:cs="Times New Roman"/>
          <w:bCs/>
          <w:sz w:val="28"/>
          <w:szCs w:val="28"/>
        </w:rPr>
        <w:t xml:space="preserve"> проведення</w:t>
      </w:r>
      <w:r w:rsidR="00B93CCA" w:rsidRPr="00B96455">
        <w:rPr>
          <w:rFonts w:ascii="Times New Roman" w:hAnsi="Times New Roman" w:cs="Times New Roman"/>
          <w:sz w:val="28"/>
          <w:szCs w:val="28"/>
        </w:rPr>
        <w:t xml:space="preserve"> внутрішнього аудиту</w:t>
      </w:r>
    </w:p>
    <w:p w:rsidR="00B93CCA" w:rsidRDefault="00746511" w:rsidP="00614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3A0A">
        <w:rPr>
          <w:rFonts w:ascii="Times New Roman" w:hAnsi="Times New Roman" w:cs="Times New Roman"/>
          <w:bCs/>
          <w:sz w:val="28"/>
          <w:szCs w:val="28"/>
        </w:rPr>
        <w:t>Міністерством</w:t>
      </w:r>
      <w:r w:rsidR="00B93CCA" w:rsidRPr="00B96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CCA" w:rsidRPr="00B96455">
        <w:rPr>
          <w:rFonts w:ascii="Times New Roman" w:eastAsia="Times New Roman" w:hAnsi="Times New Roman" w:cs="Times New Roman"/>
          <w:sz w:val="28"/>
          <w:szCs w:val="28"/>
        </w:rPr>
        <w:t>з питань тимчасово оку</w:t>
      </w:r>
      <w:r w:rsidR="00B93CCA">
        <w:rPr>
          <w:rFonts w:ascii="Times New Roman" w:eastAsia="Times New Roman" w:hAnsi="Times New Roman" w:cs="Times New Roman"/>
          <w:sz w:val="28"/>
          <w:szCs w:val="28"/>
        </w:rPr>
        <w:t xml:space="preserve">пованих територій та внутрішньо </w:t>
      </w:r>
      <w:r w:rsidR="00B93CCA" w:rsidRPr="00B96455">
        <w:rPr>
          <w:rFonts w:ascii="Times New Roman" w:eastAsia="Times New Roman" w:hAnsi="Times New Roman" w:cs="Times New Roman"/>
          <w:sz w:val="28"/>
          <w:szCs w:val="28"/>
        </w:rPr>
        <w:t>переміщених осіб України</w:t>
      </w:r>
      <w:r w:rsidR="00D844B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B93CCA">
        <w:rPr>
          <w:rFonts w:ascii="Times New Roman" w:hAnsi="Times New Roman" w:cs="Times New Roman"/>
          <w:bCs/>
          <w:sz w:val="28"/>
          <w:szCs w:val="28"/>
        </w:rPr>
        <w:t>І</w:t>
      </w:r>
      <w:r w:rsidR="00D844B6">
        <w:rPr>
          <w:rFonts w:ascii="Times New Roman" w:hAnsi="Times New Roman" w:cs="Times New Roman"/>
          <w:sz w:val="28"/>
          <w:szCs w:val="28"/>
        </w:rPr>
        <w:t xml:space="preserve"> півріччя 2019</w:t>
      </w:r>
      <w:r w:rsidR="00614C6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93CCA" w:rsidRPr="00B96455" w:rsidRDefault="00B93CCA" w:rsidP="00614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536" w:type="dxa"/>
        <w:tblLayout w:type="fixed"/>
        <w:tblLook w:val="0000"/>
      </w:tblPr>
      <w:tblGrid>
        <w:gridCol w:w="504"/>
        <w:gridCol w:w="1657"/>
        <w:gridCol w:w="5375"/>
        <w:gridCol w:w="3402"/>
        <w:gridCol w:w="2126"/>
        <w:gridCol w:w="2127"/>
      </w:tblGrid>
      <w:tr w:rsidR="00B93CCA" w:rsidTr="00F0796A">
        <w:tc>
          <w:tcPr>
            <w:tcW w:w="504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1657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Напрям</w:t>
            </w:r>
            <w:r>
              <w:rPr>
                <w:bCs/>
                <w:sz w:val="24"/>
                <w:szCs w:val="24"/>
              </w:rPr>
              <w:br/>
              <w:t>внутрішнього аудиту</w:t>
            </w:r>
          </w:p>
        </w:tc>
        <w:tc>
          <w:tcPr>
            <w:tcW w:w="5375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Тема внутрішнього аудиту</w:t>
            </w:r>
          </w:p>
        </w:tc>
        <w:tc>
          <w:tcPr>
            <w:tcW w:w="3402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Найменування та місцезнаходження об’єкта внутрішнього аудиту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Період діяльності, за який проводиться внутрішній аудит</w:t>
            </w:r>
          </w:p>
        </w:tc>
        <w:tc>
          <w:tcPr>
            <w:tcW w:w="2127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Період проведення внутрішнього аудиту</w:t>
            </w:r>
          </w:p>
        </w:tc>
      </w:tr>
      <w:tr w:rsidR="00B93CCA" w:rsidTr="00F0796A">
        <w:tc>
          <w:tcPr>
            <w:tcW w:w="504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75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93CCA" w:rsidRDefault="00B93CCA" w:rsidP="00242D6F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B93CCA" w:rsidTr="00F0796A">
        <w:trPr>
          <w:trHeight w:val="1814"/>
        </w:trPr>
        <w:tc>
          <w:tcPr>
            <w:tcW w:w="504" w:type="dxa"/>
          </w:tcPr>
          <w:p w:rsidR="00B93CCA" w:rsidRDefault="00B93CCA" w:rsidP="00242D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B93CCA" w:rsidRDefault="00D844B6" w:rsidP="00242D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Аудит відповідності, фінансовий аудит</w:t>
            </w:r>
          </w:p>
        </w:tc>
        <w:tc>
          <w:tcPr>
            <w:tcW w:w="5375" w:type="dxa"/>
          </w:tcPr>
          <w:p w:rsidR="00B93CCA" w:rsidRPr="00362CD4" w:rsidRDefault="005908F7" w:rsidP="00362CD4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362CD4">
              <w:rPr>
                <w:bCs/>
                <w:sz w:val="24"/>
                <w:szCs w:val="24"/>
              </w:rPr>
              <w:t>Оцінка діял</w:t>
            </w:r>
            <w:r w:rsidR="0021192D" w:rsidRPr="00362CD4">
              <w:rPr>
                <w:bCs/>
                <w:sz w:val="24"/>
                <w:szCs w:val="24"/>
              </w:rPr>
              <w:t xml:space="preserve">ьності МТОТ </w:t>
            </w:r>
            <w:r w:rsidR="005A7446" w:rsidRPr="00362CD4">
              <w:rPr>
                <w:bCs/>
                <w:sz w:val="24"/>
                <w:szCs w:val="24"/>
              </w:rPr>
              <w:t>у процесі</w:t>
            </w:r>
            <w:r w:rsidR="005A7446" w:rsidRPr="00362CD4">
              <w:rPr>
                <w:sz w:val="24"/>
                <w:szCs w:val="24"/>
              </w:rPr>
              <w:t xml:space="preserve"> </w:t>
            </w:r>
            <w:r w:rsidR="001F7F6A" w:rsidRPr="00362CD4">
              <w:rPr>
                <w:color w:val="000000"/>
                <w:sz w:val="24"/>
                <w:szCs w:val="24"/>
              </w:rPr>
              <w:t>підготовки і внесення на розгляд</w:t>
            </w:r>
            <w:r w:rsidR="001F7F6A" w:rsidRPr="00362CD4">
              <w:rPr>
                <w:sz w:val="24"/>
                <w:szCs w:val="24"/>
              </w:rPr>
              <w:t xml:space="preserve"> </w:t>
            </w:r>
            <w:r w:rsidR="005A7446" w:rsidRPr="00362CD4">
              <w:rPr>
                <w:color w:val="000000"/>
                <w:sz w:val="24"/>
                <w:szCs w:val="24"/>
              </w:rPr>
              <w:t xml:space="preserve">Кабінету Міністрів України </w:t>
            </w:r>
            <w:r w:rsidR="001F7F6A" w:rsidRPr="00362CD4">
              <w:rPr>
                <w:color w:val="000000"/>
                <w:sz w:val="24"/>
                <w:szCs w:val="24"/>
              </w:rPr>
              <w:t xml:space="preserve">проектів </w:t>
            </w:r>
            <w:r w:rsidR="005A7446" w:rsidRPr="00362CD4">
              <w:rPr>
                <w:color w:val="000000"/>
                <w:sz w:val="24"/>
                <w:szCs w:val="24"/>
              </w:rPr>
              <w:t>розподілу субвенції між місцев</w:t>
            </w:r>
            <w:r w:rsidR="001F7F6A" w:rsidRPr="00362CD4">
              <w:rPr>
                <w:color w:val="000000"/>
                <w:sz w:val="24"/>
                <w:szCs w:val="24"/>
              </w:rPr>
              <w:t xml:space="preserve">ими бюджетами, контроль та звітування про використання </w:t>
            </w:r>
            <w:r w:rsidR="00362CD4">
              <w:rPr>
                <w:color w:val="000000"/>
                <w:sz w:val="24"/>
                <w:szCs w:val="24"/>
              </w:rPr>
              <w:t xml:space="preserve">вказаної субвенції </w:t>
            </w:r>
            <w:r w:rsidR="001F7F6A" w:rsidRPr="00362CD4">
              <w:rPr>
                <w:color w:val="000000"/>
                <w:sz w:val="24"/>
                <w:szCs w:val="24"/>
              </w:rPr>
              <w:t xml:space="preserve">відповідно </w:t>
            </w:r>
            <w:r w:rsidR="005A7446" w:rsidRPr="00362CD4">
              <w:rPr>
                <w:color w:val="000000"/>
                <w:sz w:val="24"/>
                <w:szCs w:val="24"/>
              </w:rPr>
              <w:t xml:space="preserve">Порядку та умов </w:t>
            </w:r>
            <w:r w:rsidR="005A7446" w:rsidRPr="00362CD4">
              <w:rPr>
                <w:bCs/>
                <w:color w:val="000000"/>
                <w:sz w:val="24"/>
                <w:szCs w:val="24"/>
              </w:rPr>
              <w:t>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України, затвердженого постановою Кабінету Міністрів України від 04.10.2017 № 769</w:t>
            </w:r>
            <w:r w:rsidR="005A7446" w:rsidRPr="00362CD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3274" w:rsidRPr="00AD3274" w:rsidRDefault="00D10EB7" w:rsidP="00815E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3274">
              <w:rPr>
                <w:bCs/>
                <w:sz w:val="24"/>
                <w:szCs w:val="24"/>
              </w:rPr>
              <w:t xml:space="preserve">Управління з питань </w:t>
            </w:r>
            <w:r w:rsidR="00AD3274" w:rsidRPr="00AD3274">
              <w:rPr>
                <w:rFonts w:eastAsia="Calibri"/>
                <w:sz w:val="24"/>
                <w:szCs w:val="24"/>
                <w:lang w:eastAsia="en-US"/>
              </w:rPr>
              <w:t xml:space="preserve">з питань </w:t>
            </w:r>
            <w:r w:rsidR="00BA2F91">
              <w:rPr>
                <w:rFonts w:eastAsia="Calibri"/>
                <w:sz w:val="24"/>
                <w:szCs w:val="24"/>
                <w:lang w:eastAsia="en-US"/>
              </w:rPr>
              <w:t xml:space="preserve">внутрішньо переміщених осіб та </w:t>
            </w:r>
            <w:r w:rsidR="00AD3274" w:rsidRPr="00AD3274">
              <w:rPr>
                <w:rFonts w:eastAsia="Calibri"/>
                <w:sz w:val="24"/>
                <w:szCs w:val="24"/>
                <w:lang w:eastAsia="en-US"/>
              </w:rPr>
              <w:t>гуманітарного співробітництва</w:t>
            </w:r>
          </w:p>
          <w:p w:rsidR="00B93CCA" w:rsidRPr="00AD3274" w:rsidRDefault="00B93CCA" w:rsidP="00AD3274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CCA" w:rsidRDefault="00BA2F91" w:rsidP="00BA2F91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жовт</w:t>
            </w:r>
            <w:r w:rsidR="00273FEE">
              <w:rPr>
                <w:bCs/>
                <w:sz w:val="24"/>
                <w:szCs w:val="24"/>
              </w:rPr>
              <w:t>ень 201</w:t>
            </w:r>
            <w:r>
              <w:rPr>
                <w:bCs/>
                <w:sz w:val="24"/>
                <w:szCs w:val="24"/>
              </w:rPr>
              <w:t>7 – травень 2019</w:t>
            </w:r>
            <w:r w:rsidR="00391C73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2127" w:type="dxa"/>
          </w:tcPr>
          <w:p w:rsidR="00B93CCA" w:rsidRDefault="00F0796A" w:rsidP="00242D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травень – червень 2019</w:t>
            </w:r>
          </w:p>
        </w:tc>
      </w:tr>
      <w:tr w:rsidR="003262D9" w:rsidTr="00F0796A">
        <w:trPr>
          <w:trHeight w:val="1814"/>
        </w:trPr>
        <w:tc>
          <w:tcPr>
            <w:tcW w:w="504" w:type="dxa"/>
          </w:tcPr>
          <w:p w:rsidR="003262D9" w:rsidRDefault="003262D9" w:rsidP="00242D6F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3262D9" w:rsidRDefault="003262D9" w:rsidP="004256DB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Аудит відповідності, фінансовий аудит</w:t>
            </w:r>
          </w:p>
        </w:tc>
        <w:tc>
          <w:tcPr>
            <w:tcW w:w="5375" w:type="dxa"/>
          </w:tcPr>
          <w:p w:rsidR="00A92B9E" w:rsidRPr="00F0796A" w:rsidRDefault="00A92B9E" w:rsidP="00142AFB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62CD4">
              <w:rPr>
                <w:bCs/>
                <w:sz w:val="24"/>
                <w:szCs w:val="24"/>
              </w:rPr>
              <w:t>Оцінка діяльності МТОТ у процесі</w:t>
            </w:r>
            <w:r>
              <w:rPr>
                <w:sz w:val="24"/>
                <w:szCs w:val="24"/>
              </w:rPr>
              <w:t xml:space="preserve"> </w:t>
            </w:r>
            <w:r w:rsidRPr="00075256">
              <w:rPr>
                <w:color w:val="000000"/>
                <w:sz w:val="24"/>
                <w:szCs w:val="24"/>
              </w:rPr>
              <w:t>викорис</w:t>
            </w:r>
            <w:r>
              <w:rPr>
                <w:color w:val="000000"/>
                <w:sz w:val="24"/>
                <w:szCs w:val="24"/>
              </w:rPr>
              <w:t>та</w:t>
            </w:r>
            <w:r w:rsidR="00142AFB">
              <w:rPr>
                <w:color w:val="000000"/>
                <w:sz w:val="24"/>
                <w:szCs w:val="24"/>
              </w:rPr>
              <w:t xml:space="preserve">ння  </w:t>
            </w:r>
            <w:r>
              <w:rPr>
                <w:color w:val="000000"/>
                <w:sz w:val="24"/>
                <w:szCs w:val="24"/>
              </w:rPr>
              <w:t xml:space="preserve">коштів </w:t>
            </w:r>
            <w:r w:rsidR="00F0796A">
              <w:rPr>
                <w:color w:val="000000"/>
                <w:sz w:val="24"/>
                <w:szCs w:val="24"/>
              </w:rPr>
              <w:t xml:space="preserve">за </w:t>
            </w:r>
            <w:r w:rsidR="00F0796A" w:rsidRPr="00075256">
              <w:rPr>
                <w:color w:val="000000"/>
                <w:sz w:val="24"/>
                <w:szCs w:val="24"/>
              </w:rPr>
              <w:t>напрямами</w:t>
            </w:r>
            <w:r w:rsidR="00F0796A">
              <w:rPr>
                <w:color w:val="000000"/>
                <w:sz w:val="24"/>
                <w:szCs w:val="24"/>
              </w:rPr>
              <w:t xml:space="preserve">, визначеними </w:t>
            </w:r>
            <w:r>
              <w:rPr>
                <w:color w:val="000000"/>
                <w:sz w:val="24"/>
                <w:szCs w:val="24"/>
              </w:rPr>
              <w:t>Порядк</w:t>
            </w:r>
            <w:r w:rsidR="00F0796A">
              <w:rPr>
                <w:color w:val="000000"/>
                <w:sz w:val="24"/>
                <w:szCs w:val="24"/>
              </w:rPr>
              <w:t>ом</w:t>
            </w:r>
            <w:r w:rsidRPr="00075256">
              <w:rPr>
                <w:b/>
                <w:bCs/>
                <w:color w:val="000000"/>
                <w:sz w:val="32"/>
              </w:rPr>
              <w:t xml:space="preserve"> </w:t>
            </w:r>
            <w:r w:rsidRPr="00A92B9E">
              <w:rPr>
                <w:bCs/>
                <w:color w:val="000000"/>
                <w:sz w:val="24"/>
                <w:szCs w:val="24"/>
              </w:rPr>
              <w:t>використання коштів, передбачених у державному бюджеті для здійснення заходів щодо захисту і забезпечення прав та інтересів, соціальної реабілітації осіб, позбавлених особистої свободи незаконними збройними фо</w:t>
            </w:r>
            <w:r w:rsidR="00142AFB">
              <w:rPr>
                <w:bCs/>
                <w:color w:val="000000"/>
                <w:sz w:val="24"/>
                <w:szCs w:val="24"/>
              </w:rPr>
              <w:t xml:space="preserve">рмуваннями, </w:t>
            </w:r>
            <w:r w:rsidRPr="00A92B9E">
              <w:rPr>
                <w:bCs/>
                <w:color w:val="000000"/>
                <w:sz w:val="24"/>
                <w:szCs w:val="24"/>
              </w:rPr>
              <w:t>окупаційною адміністрацією та/або органами влади Російської Федерації на тимчасово окупованих територіях України та/або території Російської Федерації у зв’язку з громадською або політичною діяльністю таких осіб, а також підтримки зазначених осіб та членів їх сімей, у тому числі відшкодування витрат, пов’язаних з їх відвідуванням, надання особам, позбавленим особистої свободи, та членам їх сімей правової допомоги, медичних та соціальних послуг, здійснення виплат державних стипендій імені Левка Лук’яненка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362CD4">
              <w:rPr>
                <w:bCs/>
                <w:color w:val="000000"/>
                <w:sz w:val="24"/>
                <w:szCs w:val="24"/>
              </w:rPr>
              <w:t xml:space="preserve"> затвердженого постановою Кабінету Міністрів України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92B9E">
              <w:rPr>
                <w:bCs/>
                <w:color w:val="000000"/>
                <w:sz w:val="24"/>
                <w:szCs w:val="24"/>
              </w:rPr>
              <w:t>від 18 квітня 2018 р. № 328</w:t>
            </w:r>
          </w:p>
          <w:p w:rsidR="003262D9" w:rsidRDefault="003262D9" w:rsidP="00A92B9E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D3274" w:rsidRPr="00AD3274" w:rsidRDefault="003262D9" w:rsidP="00AD327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3274">
              <w:rPr>
                <w:bCs/>
                <w:sz w:val="24"/>
                <w:szCs w:val="24"/>
              </w:rPr>
              <w:t xml:space="preserve">Відділ </w:t>
            </w:r>
            <w:r w:rsidR="00AD3274" w:rsidRPr="00AD3274">
              <w:rPr>
                <w:rFonts w:eastAsia="Calibri"/>
                <w:sz w:val="24"/>
                <w:szCs w:val="24"/>
                <w:lang w:eastAsia="en-US"/>
              </w:rPr>
              <w:t>з питань осіб,</w:t>
            </w:r>
            <w:r w:rsidR="00815E9A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r w:rsidR="00AD3274" w:rsidRPr="00AD3274">
              <w:rPr>
                <w:rFonts w:eastAsia="Calibri"/>
                <w:sz w:val="24"/>
                <w:szCs w:val="24"/>
                <w:lang w:eastAsia="en-US"/>
              </w:rPr>
              <w:t>озбавлених особистої свободи</w:t>
            </w:r>
          </w:p>
          <w:p w:rsidR="003262D9" w:rsidRPr="00AD3274" w:rsidRDefault="003262D9" w:rsidP="00AD3274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2D9" w:rsidRDefault="00BA2F91" w:rsidP="00452B90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квітень 2018 – берез</w:t>
            </w:r>
            <w:r w:rsidR="00452B90">
              <w:rPr>
                <w:bCs/>
                <w:sz w:val="24"/>
                <w:szCs w:val="24"/>
              </w:rPr>
              <w:t xml:space="preserve">ень </w:t>
            </w:r>
            <w:r>
              <w:rPr>
                <w:bCs/>
                <w:sz w:val="24"/>
                <w:szCs w:val="24"/>
              </w:rPr>
              <w:t>2019</w:t>
            </w:r>
            <w:r w:rsidR="003262D9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2127" w:type="dxa"/>
          </w:tcPr>
          <w:p w:rsidR="003262D9" w:rsidRDefault="00F0796A" w:rsidP="004256DB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березень – квітень 2019</w:t>
            </w:r>
          </w:p>
        </w:tc>
      </w:tr>
    </w:tbl>
    <w:p w:rsidR="003D5B45" w:rsidRDefault="00291CD0" w:rsidP="00D10EB7">
      <w:pPr>
        <w:spacing w:before="280" w:after="2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93CCA" w:rsidRPr="00F50144" w:rsidRDefault="003D5B45" w:rsidP="00D10EB7">
      <w:pPr>
        <w:spacing w:before="280" w:after="2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1CD0">
        <w:rPr>
          <w:rFonts w:ascii="Times New Roman" w:hAnsi="Times New Roman"/>
          <w:sz w:val="28"/>
          <w:szCs w:val="28"/>
        </w:rPr>
        <w:t xml:space="preserve"> </w:t>
      </w:r>
      <w:r w:rsidR="00D10EB7" w:rsidRPr="00F50144">
        <w:rPr>
          <w:rFonts w:ascii="Times New Roman" w:hAnsi="Times New Roman"/>
          <w:sz w:val="28"/>
          <w:szCs w:val="28"/>
        </w:rPr>
        <w:t xml:space="preserve">Головний спеціаліст з питань внутрішнього аудиту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41EB5">
        <w:rPr>
          <w:rFonts w:ascii="Times New Roman" w:hAnsi="Times New Roman"/>
          <w:sz w:val="28"/>
          <w:szCs w:val="28"/>
        </w:rPr>
        <w:t xml:space="preserve">       </w:t>
      </w:r>
      <w:r w:rsidR="00E41EB5" w:rsidRPr="00E41EB5">
        <w:rPr>
          <w:rFonts w:ascii="Times New Roman" w:hAnsi="Times New Roman" w:cs="Times New Roman"/>
          <w:sz w:val="26"/>
          <w:szCs w:val="26"/>
          <w:u w:val="single"/>
        </w:rPr>
        <w:t>підпис</w:t>
      </w:r>
      <w:r w:rsidR="00D10EB7" w:rsidRPr="00F50144">
        <w:rPr>
          <w:rFonts w:ascii="Times New Roman" w:hAnsi="Times New Roman"/>
          <w:sz w:val="28"/>
          <w:szCs w:val="28"/>
        </w:rPr>
        <w:t xml:space="preserve">         </w:t>
      </w:r>
      <w:r w:rsidR="00F50144">
        <w:rPr>
          <w:rFonts w:ascii="Times New Roman" w:hAnsi="Times New Roman"/>
          <w:sz w:val="28"/>
          <w:szCs w:val="28"/>
        </w:rPr>
        <w:t xml:space="preserve">       </w:t>
      </w:r>
      <w:r w:rsidR="00D10EB7" w:rsidRPr="00F50144">
        <w:rPr>
          <w:rFonts w:ascii="Times New Roman" w:hAnsi="Times New Roman"/>
          <w:sz w:val="28"/>
          <w:szCs w:val="28"/>
        </w:rPr>
        <w:t xml:space="preserve">                                                  В.В. </w:t>
      </w:r>
      <w:proofErr w:type="spellStart"/>
      <w:r w:rsidR="00D10EB7" w:rsidRPr="00F50144">
        <w:rPr>
          <w:rFonts w:ascii="Times New Roman" w:hAnsi="Times New Roman"/>
          <w:sz w:val="28"/>
          <w:szCs w:val="28"/>
        </w:rPr>
        <w:t>Саченко</w:t>
      </w:r>
      <w:proofErr w:type="spellEnd"/>
      <w:r w:rsidR="00B93CCA" w:rsidRPr="00F50144">
        <w:rPr>
          <w:rFonts w:ascii="Times New Roman" w:hAnsi="Times New Roman"/>
          <w:sz w:val="28"/>
          <w:szCs w:val="28"/>
        </w:rPr>
        <w:br/>
      </w:r>
    </w:p>
    <w:p w:rsidR="007A4FA2" w:rsidRDefault="007A4FA2" w:rsidP="00B93CCA">
      <w:pPr>
        <w:jc w:val="both"/>
      </w:pPr>
    </w:p>
    <w:sectPr w:rsidR="007A4FA2" w:rsidSect="00E106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3CCA"/>
    <w:rsid w:val="000039F5"/>
    <w:rsid w:val="00015055"/>
    <w:rsid w:val="00043D2C"/>
    <w:rsid w:val="001256DF"/>
    <w:rsid w:val="00142AFB"/>
    <w:rsid w:val="001F7F6A"/>
    <w:rsid w:val="0021192D"/>
    <w:rsid w:val="0021406D"/>
    <w:rsid w:val="00273FEE"/>
    <w:rsid w:val="00291CD0"/>
    <w:rsid w:val="002B2120"/>
    <w:rsid w:val="002E7638"/>
    <w:rsid w:val="003262D9"/>
    <w:rsid w:val="00362CD4"/>
    <w:rsid w:val="003665B2"/>
    <w:rsid w:val="00391C73"/>
    <w:rsid w:val="003A6517"/>
    <w:rsid w:val="003B0F9F"/>
    <w:rsid w:val="003D5B45"/>
    <w:rsid w:val="00452B90"/>
    <w:rsid w:val="004B48B9"/>
    <w:rsid w:val="004C0421"/>
    <w:rsid w:val="004F5C2C"/>
    <w:rsid w:val="005908F7"/>
    <w:rsid w:val="005A7446"/>
    <w:rsid w:val="005D3C19"/>
    <w:rsid w:val="00614C6F"/>
    <w:rsid w:val="00665CE9"/>
    <w:rsid w:val="006A7932"/>
    <w:rsid w:val="00746511"/>
    <w:rsid w:val="00753A99"/>
    <w:rsid w:val="007A4FA2"/>
    <w:rsid w:val="00815E9A"/>
    <w:rsid w:val="008C22F7"/>
    <w:rsid w:val="009C5695"/>
    <w:rsid w:val="009E16AB"/>
    <w:rsid w:val="00A6095C"/>
    <w:rsid w:val="00A83CD7"/>
    <w:rsid w:val="00A92B9E"/>
    <w:rsid w:val="00AD3274"/>
    <w:rsid w:val="00AD74A8"/>
    <w:rsid w:val="00AE26E7"/>
    <w:rsid w:val="00B04252"/>
    <w:rsid w:val="00B93CCA"/>
    <w:rsid w:val="00BA2F91"/>
    <w:rsid w:val="00C17376"/>
    <w:rsid w:val="00C31143"/>
    <w:rsid w:val="00D10EB7"/>
    <w:rsid w:val="00D55555"/>
    <w:rsid w:val="00D63A0A"/>
    <w:rsid w:val="00D844B6"/>
    <w:rsid w:val="00E106F4"/>
    <w:rsid w:val="00E13DEB"/>
    <w:rsid w:val="00E41EB5"/>
    <w:rsid w:val="00EB76E3"/>
    <w:rsid w:val="00EF6EDD"/>
    <w:rsid w:val="00F0796A"/>
    <w:rsid w:val="00F2601B"/>
    <w:rsid w:val="00F5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Table Grid 1"/>
    <w:basedOn w:val="a1"/>
    <w:rsid w:val="00B93CC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Emphasis"/>
    <w:basedOn w:val="a0"/>
    <w:uiPriority w:val="20"/>
    <w:qFormat/>
    <w:rsid w:val="009E16AB"/>
    <w:rPr>
      <w:i/>
      <w:iCs/>
    </w:rPr>
  </w:style>
  <w:style w:type="paragraph" w:customStyle="1" w:styleId="rvps2">
    <w:name w:val="rvps2"/>
    <w:basedOn w:val="a"/>
    <w:rsid w:val="005A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5C51-960B-4956-B1CE-5FF64DCB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2018-06-08T07:13:00Z</cp:lastPrinted>
  <dcterms:created xsi:type="dcterms:W3CDTF">2018-05-31T10:54:00Z</dcterms:created>
  <dcterms:modified xsi:type="dcterms:W3CDTF">2018-12-19T15:50:00Z</dcterms:modified>
</cp:coreProperties>
</file>